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3E" w:rsidRDefault="003C4C0B" w:rsidP="005D59AE">
      <w:pPr>
        <w:spacing w:after="0"/>
        <w:rPr>
          <w:rFonts w:cs="Arial"/>
          <w:b/>
          <w:sz w:val="24"/>
          <w:szCs w:val="24"/>
        </w:rPr>
      </w:pPr>
      <w:r>
        <w:rPr>
          <w:rFonts w:cs="Arial"/>
          <w:b/>
          <w:sz w:val="24"/>
          <w:szCs w:val="24"/>
        </w:rPr>
        <w:t>Research Administration</w:t>
      </w:r>
      <w:r w:rsidR="002D493E" w:rsidRPr="00640A8D">
        <w:rPr>
          <w:rFonts w:cs="Arial"/>
          <w:b/>
          <w:sz w:val="24"/>
          <w:szCs w:val="24"/>
        </w:rPr>
        <w:t xml:space="preserve"> Certificate Program </w:t>
      </w:r>
      <w:r w:rsidR="005D3976" w:rsidRPr="00640A8D">
        <w:rPr>
          <w:rFonts w:cs="Arial"/>
          <w:b/>
          <w:sz w:val="24"/>
          <w:szCs w:val="24"/>
        </w:rPr>
        <w:t>Tracking Form</w:t>
      </w:r>
    </w:p>
    <w:p w:rsidR="0050296B" w:rsidRDefault="0050296B" w:rsidP="005D59AE">
      <w:pPr>
        <w:spacing w:after="0"/>
        <w:rPr>
          <w:rFonts w:cs="Arial"/>
          <w:b/>
          <w:sz w:val="24"/>
          <w:szCs w:val="24"/>
        </w:rPr>
      </w:pPr>
    </w:p>
    <w:p w:rsidR="00D5675C" w:rsidRPr="00640A8D" w:rsidRDefault="00D5675C" w:rsidP="005D59AE">
      <w:pPr>
        <w:spacing w:after="0"/>
        <w:rPr>
          <w:rFonts w:cs="Arial"/>
          <w:b/>
          <w:sz w:val="24"/>
          <w:szCs w:val="24"/>
        </w:rPr>
      </w:pPr>
      <w:r>
        <w:rPr>
          <w:rFonts w:cs="Arial"/>
          <w:b/>
          <w:sz w:val="24"/>
          <w:szCs w:val="24"/>
        </w:rPr>
        <w:t>Name _______________________</w:t>
      </w:r>
    </w:p>
    <w:p w:rsidR="002D493E" w:rsidRDefault="008F5352" w:rsidP="005D59AE">
      <w:pPr>
        <w:spacing w:after="0"/>
        <w:rPr>
          <w:rFonts w:cs="Arial"/>
          <w:b/>
          <w:sz w:val="20"/>
          <w:szCs w:val="20"/>
        </w:rPr>
      </w:pPr>
      <w:r w:rsidRPr="00AF0278">
        <w:rPr>
          <w:rFonts w:cs="Arial"/>
          <w:b/>
          <w:noProof/>
          <w:sz w:val="20"/>
          <w:szCs w:val="20"/>
        </w:rPr>
        <mc:AlternateContent>
          <mc:Choice Requires="wps">
            <w:drawing>
              <wp:anchor distT="45720" distB="45720" distL="114300" distR="114300" simplePos="0" relativeHeight="251659264" behindDoc="0" locked="0" layoutInCell="1" allowOverlap="1" wp14:anchorId="1DC528F3" wp14:editId="2FC0B5F0">
                <wp:simplePos x="0" y="0"/>
                <wp:positionH relativeFrom="column">
                  <wp:posOffset>-52070</wp:posOffset>
                </wp:positionH>
                <wp:positionV relativeFrom="paragraph">
                  <wp:posOffset>7225665</wp:posOffset>
                </wp:positionV>
                <wp:extent cx="6599555" cy="580390"/>
                <wp:effectExtent l="0" t="0" r="1079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580390"/>
                        </a:xfrm>
                        <a:prstGeom prst="rect">
                          <a:avLst/>
                        </a:prstGeom>
                        <a:solidFill>
                          <a:srgbClr val="FFFFFF"/>
                        </a:solidFill>
                        <a:ln w="9525">
                          <a:solidFill>
                            <a:srgbClr val="000000"/>
                          </a:solidFill>
                          <a:miter lim="800000"/>
                          <a:headEnd/>
                          <a:tailEnd/>
                        </a:ln>
                      </wps:spPr>
                      <wps:txbx>
                        <w:txbxContent>
                          <w:p w:rsidR="00AF0278" w:rsidRDefault="00AF0278" w:rsidP="00AF0278">
                            <w:pPr>
                              <w:pStyle w:val="NoSpacing"/>
                              <w:rPr>
                                <w:rFonts w:cs="Arial"/>
                                <w:b/>
                                <w:sz w:val="20"/>
                                <w:szCs w:val="20"/>
                              </w:rPr>
                            </w:pPr>
                            <w:r w:rsidRPr="00AF0278">
                              <w:rPr>
                                <w:rFonts w:cs="Arial"/>
                                <w:b/>
                                <w:sz w:val="20"/>
                                <w:szCs w:val="20"/>
                              </w:rPr>
                              <w:t xml:space="preserve">Please scan / send a copy to </w:t>
                            </w:r>
                            <w:hyperlink r:id="rId6" w:history="1">
                              <w:r w:rsidRPr="00AF0278">
                                <w:rPr>
                                  <w:rStyle w:val="Hyperlink"/>
                                  <w:rFonts w:cs="Arial"/>
                                  <w:b/>
                                  <w:sz w:val="20"/>
                                  <w:szCs w:val="20"/>
                                </w:rPr>
                                <w:t>psperry@gmu.edu</w:t>
                              </w:r>
                            </w:hyperlink>
                            <w:r w:rsidRPr="00AF0278">
                              <w:rPr>
                                <w:rFonts w:cs="Arial"/>
                                <w:b/>
                                <w:sz w:val="20"/>
                                <w:szCs w:val="20"/>
                              </w:rPr>
                              <w:t xml:space="preserve"> or Pat Sperry MSN 4C6 when you have completed sessions 1 – 11.  </w:t>
                            </w:r>
                            <w:r w:rsidR="006D4DB3" w:rsidRPr="006D4DB3">
                              <w:rPr>
                                <w:rFonts w:cs="Arial"/>
                                <w:b/>
                                <w:sz w:val="20"/>
                                <w:szCs w:val="20"/>
                              </w:rPr>
                              <w:t>A special celebration honoring participants who completed the Research Administration Certificate Program. Invitations were sent to eligible participants, their supervisors, and members of the research community. No registration is required.</w:t>
                            </w:r>
                          </w:p>
                          <w:p w:rsidR="00AF0278" w:rsidRDefault="00AF0278" w:rsidP="00AF0278">
                            <w:pPr>
                              <w:pStyle w:val="NoSpacing"/>
                              <w:rPr>
                                <w:rFonts w:cs="Arial"/>
                                <w:b/>
                                <w:sz w:val="20"/>
                                <w:szCs w:val="20"/>
                              </w:rPr>
                            </w:pPr>
                          </w:p>
                          <w:p w:rsidR="00AF0278" w:rsidRDefault="00AF0278" w:rsidP="00AF0278">
                            <w:pPr>
                              <w:pStyle w:val="NoSpacing"/>
                              <w:rPr>
                                <w:rFonts w:cs="Arial"/>
                                <w:b/>
                                <w:sz w:val="20"/>
                                <w:szCs w:val="20"/>
                              </w:rPr>
                            </w:pPr>
                          </w:p>
                          <w:p w:rsidR="00AF0278" w:rsidRDefault="00AF0278" w:rsidP="00AF0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528F3" id="_x0000_t202" coordsize="21600,21600" o:spt="202" path="m,l,21600r21600,l21600,xe">
                <v:stroke joinstyle="miter"/>
                <v:path gradientshapeok="t" o:connecttype="rect"/>
              </v:shapetype>
              <v:shape id="Text Box 2" o:spid="_x0000_s1026" type="#_x0000_t202" style="position:absolute;margin-left:-4.1pt;margin-top:568.95pt;width:519.65pt;height:4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">
                <v:textbox>
                  <w:txbxContent>
                    <w:p w:rsidR="00AF0278" w:rsidRDefault="00AF0278" w:rsidP="00AF0278">
                      <w:pPr>
                        <w:pStyle w:val="NoSpacing"/>
                        <w:rPr>
                          <w:rFonts w:cs="Arial"/>
                          <w:b/>
                          <w:sz w:val="20"/>
                          <w:szCs w:val="20"/>
                        </w:rPr>
                      </w:pPr>
                      <w:r w:rsidRPr="00AF0278">
                        <w:rPr>
                          <w:rFonts w:cs="Arial"/>
                          <w:b/>
                          <w:sz w:val="20"/>
                          <w:szCs w:val="20"/>
                        </w:rPr>
                        <w:t xml:space="preserve">Please scan / send a copy to </w:t>
                      </w:r>
                      <w:hyperlink r:id="rId7" w:history="1">
                        <w:r w:rsidRPr="00AF0278">
                          <w:rPr>
                            <w:rStyle w:val="Hyperlink"/>
                            <w:rFonts w:cs="Arial"/>
                            <w:b/>
                            <w:sz w:val="20"/>
                            <w:szCs w:val="20"/>
                          </w:rPr>
                          <w:t>psperry@gmu.edu</w:t>
                        </w:r>
                      </w:hyperlink>
                      <w:r w:rsidRPr="00AF0278">
                        <w:rPr>
                          <w:rFonts w:cs="Arial"/>
                          <w:b/>
                          <w:sz w:val="20"/>
                          <w:szCs w:val="20"/>
                        </w:rPr>
                        <w:t xml:space="preserve"> or Pat Sperry MSN 4C6 when you have completed sessions 1 – 11.  </w:t>
                      </w:r>
                      <w:r w:rsidR="006D4DB3" w:rsidRPr="006D4DB3">
                        <w:rPr>
                          <w:rFonts w:cs="Arial"/>
                          <w:b/>
                          <w:sz w:val="20"/>
                          <w:szCs w:val="20"/>
                        </w:rPr>
                        <w:t>A special celebration honoring participants who completed the Research Administration Certificate Program. Invitations were sent to eligible participants, their supervisors, and members of the research community. No registration is required.</w:t>
                      </w:r>
                    </w:p>
                    <w:p w:rsidR="00AF0278" w:rsidRDefault="00AF0278" w:rsidP="00AF0278">
                      <w:pPr>
                        <w:pStyle w:val="NoSpacing"/>
                        <w:rPr>
                          <w:rFonts w:cs="Arial"/>
                          <w:b/>
                          <w:sz w:val="20"/>
                          <w:szCs w:val="20"/>
                        </w:rPr>
                      </w:pPr>
                    </w:p>
                    <w:p w:rsidR="00AF0278" w:rsidRDefault="00AF0278" w:rsidP="00AF0278">
                      <w:pPr>
                        <w:pStyle w:val="NoSpacing"/>
                        <w:rPr>
                          <w:rFonts w:cs="Arial"/>
                          <w:b/>
                          <w:sz w:val="20"/>
                          <w:szCs w:val="20"/>
                        </w:rPr>
                      </w:pPr>
                    </w:p>
                    <w:p w:rsidR="00AF0278" w:rsidRDefault="00AF0278" w:rsidP="00AF0278"/>
                  </w:txbxContent>
                </v:textbox>
                <w10:wrap type="square"/>
              </v:shape>
            </w:pict>
          </mc:Fallback>
        </mc:AlternateContent>
      </w:r>
    </w:p>
    <w:tbl>
      <w:tblPr>
        <w:tblStyle w:val="TableGrid"/>
        <w:tblW w:w="0" w:type="auto"/>
        <w:tblLook w:val="04A0" w:firstRow="1" w:lastRow="0" w:firstColumn="1" w:lastColumn="0" w:noHBand="0" w:noVBand="1"/>
      </w:tblPr>
      <w:tblGrid>
        <w:gridCol w:w="8095"/>
        <w:gridCol w:w="1309"/>
        <w:gridCol w:w="900"/>
      </w:tblGrid>
      <w:tr w:rsidR="00BF58F4" w:rsidTr="008F5352">
        <w:tc>
          <w:tcPr>
            <w:tcW w:w="8095" w:type="dxa"/>
          </w:tcPr>
          <w:p w:rsidR="00BF58F4" w:rsidRPr="00640A8D" w:rsidRDefault="00BF58F4" w:rsidP="005D3976">
            <w:pPr>
              <w:rPr>
                <w:rFonts w:cs="Arial"/>
                <w:b/>
                <w:sz w:val="24"/>
                <w:szCs w:val="24"/>
              </w:rPr>
            </w:pPr>
            <w:r w:rsidRPr="00640A8D">
              <w:rPr>
                <w:rFonts w:cs="Arial"/>
                <w:b/>
                <w:sz w:val="24"/>
                <w:szCs w:val="24"/>
              </w:rPr>
              <w:t>Session</w:t>
            </w:r>
          </w:p>
        </w:tc>
        <w:tc>
          <w:tcPr>
            <w:tcW w:w="1309" w:type="dxa"/>
          </w:tcPr>
          <w:p w:rsidR="00BF58F4" w:rsidRPr="00640A8D" w:rsidRDefault="00BF58F4" w:rsidP="00BF58F4">
            <w:pPr>
              <w:rPr>
                <w:rFonts w:cs="Arial"/>
                <w:b/>
                <w:sz w:val="24"/>
                <w:szCs w:val="24"/>
              </w:rPr>
            </w:pPr>
            <w:r w:rsidRPr="00640A8D">
              <w:rPr>
                <w:rFonts w:cs="Arial"/>
                <w:b/>
                <w:sz w:val="24"/>
                <w:szCs w:val="24"/>
              </w:rPr>
              <w:t xml:space="preserve">Date </w:t>
            </w:r>
            <w:r>
              <w:rPr>
                <w:rFonts w:cs="Arial"/>
                <w:b/>
                <w:sz w:val="24"/>
                <w:szCs w:val="24"/>
              </w:rPr>
              <w:t>Completed</w:t>
            </w:r>
          </w:p>
        </w:tc>
        <w:tc>
          <w:tcPr>
            <w:tcW w:w="900" w:type="dxa"/>
          </w:tcPr>
          <w:p w:rsidR="00BF58F4" w:rsidRPr="00640A8D" w:rsidRDefault="00BF58F4" w:rsidP="005D59AE">
            <w:pPr>
              <w:rPr>
                <w:rFonts w:cs="Arial"/>
                <w:b/>
                <w:sz w:val="24"/>
                <w:szCs w:val="24"/>
              </w:rPr>
            </w:pPr>
            <w:r>
              <w:rPr>
                <w:rFonts w:cs="Arial"/>
                <w:b/>
                <w:sz w:val="24"/>
                <w:szCs w:val="24"/>
              </w:rPr>
              <w:t>Video Y or N</w:t>
            </w:r>
          </w:p>
        </w:tc>
      </w:tr>
      <w:tr w:rsidR="00BF58F4" w:rsidTr="008F5352">
        <w:tc>
          <w:tcPr>
            <w:tcW w:w="8095" w:type="dxa"/>
          </w:tcPr>
          <w:p w:rsidR="00BF58F4" w:rsidRPr="005D3976" w:rsidRDefault="00BF58F4" w:rsidP="005D3976">
            <w:pPr>
              <w:rPr>
                <w:rFonts w:cs="Arial"/>
                <w:b/>
                <w:sz w:val="20"/>
                <w:szCs w:val="20"/>
              </w:rPr>
            </w:pPr>
            <w:r w:rsidRPr="005D3976">
              <w:rPr>
                <w:rFonts w:cs="Arial"/>
                <w:b/>
                <w:sz w:val="20"/>
                <w:szCs w:val="20"/>
              </w:rPr>
              <w:t xml:space="preserve">1. Overview of Sponsored Research </w:t>
            </w:r>
          </w:p>
          <w:p w:rsidR="00BF58F4" w:rsidRDefault="00BF58F4" w:rsidP="005D3976">
            <w:pPr>
              <w:rPr>
                <w:rFonts w:cs="Arial"/>
                <w:b/>
                <w:sz w:val="20"/>
                <w:szCs w:val="20"/>
              </w:rPr>
            </w:pPr>
            <w:r w:rsidRPr="005D3976">
              <w:rPr>
                <w:rFonts w:cs="Arial"/>
                <w:sz w:val="20"/>
                <w:szCs w:val="20"/>
              </w:rPr>
              <w:t xml:space="preserve">The kick-off session of the Research Administration Certificate Program will cover topics including the research and regulatory environment, sponsored projects policies, the life cycle of an award, and an overview of the Office of Sponsored Programs.  </w:t>
            </w:r>
          </w:p>
        </w:tc>
        <w:tc>
          <w:tcPr>
            <w:tcW w:w="1309" w:type="dxa"/>
          </w:tcPr>
          <w:p w:rsidR="00BF58F4" w:rsidRDefault="00BF58F4" w:rsidP="005D59AE">
            <w:pPr>
              <w:rPr>
                <w:rFonts w:cs="Arial"/>
                <w:b/>
                <w:sz w:val="20"/>
                <w:szCs w:val="20"/>
              </w:rPr>
            </w:pPr>
          </w:p>
        </w:tc>
        <w:tc>
          <w:tcPr>
            <w:tcW w:w="900" w:type="dxa"/>
          </w:tcPr>
          <w:p w:rsidR="00BF58F4" w:rsidRDefault="00BF58F4" w:rsidP="005D59AE">
            <w:pPr>
              <w:rPr>
                <w:rFonts w:cs="Arial"/>
                <w:b/>
                <w:sz w:val="20"/>
                <w:szCs w:val="20"/>
              </w:rPr>
            </w:pPr>
          </w:p>
        </w:tc>
      </w:tr>
      <w:tr w:rsidR="00BF58F4" w:rsidTr="008F5352">
        <w:tc>
          <w:tcPr>
            <w:tcW w:w="8095" w:type="dxa"/>
          </w:tcPr>
          <w:p w:rsidR="00BF58F4" w:rsidRPr="005D3976" w:rsidRDefault="00BF58F4" w:rsidP="005D3976">
            <w:pPr>
              <w:rPr>
                <w:rFonts w:cs="Arial"/>
                <w:b/>
                <w:sz w:val="20"/>
                <w:szCs w:val="20"/>
              </w:rPr>
            </w:pPr>
            <w:r w:rsidRPr="005D3976">
              <w:rPr>
                <w:rFonts w:cs="Arial"/>
                <w:b/>
                <w:sz w:val="20"/>
                <w:szCs w:val="20"/>
              </w:rPr>
              <w:t>2. Proposal Development</w:t>
            </w:r>
          </w:p>
          <w:p w:rsidR="00BF58F4" w:rsidRPr="005D3976" w:rsidRDefault="00BF58F4" w:rsidP="00640A8D">
            <w:pPr>
              <w:rPr>
                <w:rFonts w:cs="Arial"/>
                <w:sz w:val="20"/>
                <w:szCs w:val="20"/>
              </w:rPr>
            </w:pPr>
            <w:r w:rsidRPr="005D3976">
              <w:rPr>
                <w:rFonts w:cs="Arial"/>
                <w:sz w:val="20"/>
                <w:szCs w:val="20"/>
              </w:rPr>
              <w:t xml:space="preserve">This session provides an overview of the information available on the OSP website and covers the proposal preparation process from completing the Request for Proposal Assignment form to the routing process. </w:t>
            </w:r>
          </w:p>
        </w:tc>
        <w:tc>
          <w:tcPr>
            <w:tcW w:w="1309" w:type="dxa"/>
          </w:tcPr>
          <w:p w:rsidR="00BF58F4" w:rsidRDefault="00BF58F4" w:rsidP="005D59AE">
            <w:pPr>
              <w:rPr>
                <w:rFonts w:cs="Arial"/>
                <w:b/>
                <w:sz w:val="20"/>
                <w:szCs w:val="20"/>
              </w:rPr>
            </w:pPr>
          </w:p>
        </w:tc>
        <w:tc>
          <w:tcPr>
            <w:tcW w:w="900" w:type="dxa"/>
          </w:tcPr>
          <w:p w:rsidR="00BF58F4" w:rsidRDefault="00BF58F4" w:rsidP="005D59AE">
            <w:pPr>
              <w:rPr>
                <w:rFonts w:cs="Arial"/>
                <w:b/>
                <w:sz w:val="20"/>
                <w:szCs w:val="20"/>
              </w:rPr>
            </w:pPr>
          </w:p>
        </w:tc>
      </w:tr>
      <w:tr w:rsidR="00BF58F4" w:rsidTr="008F5352">
        <w:tc>
          <w:tcPr>
            <w:tcW w:w="8095" w:type="dxa"/>
          </w:tcPr>
          <w:p w:rsidR="00BF58F4" w:rsidRPr="005D3976" w:rsidRDefault="00BF58F4" w:rsidP="005D3976">
            <w:pPr>
              <w:rPr>
                <w:rFonts w:cs="Arial"/>
                <w:b/>
                <w:sz w:val="20"/>
                <w:szCs w:val="20"/>
              </w:rPr>
            </w:pPr>
            <w:r w:rsidRPr="005D3976">
              <w:rPr>
                <w:rFonts w:cs="Arial"/>
                <w:b/>
                <w:sz w:val="20"/>
                <w:szCs w:val="20"/>
              </w:rPr>
              <w:t xml:space="preserve">3. Proposal Budget Development </w:t>
            </w:r>
          </w:p>
          <w:p w:rsidR="00BF58F4" w:rsidRPr="005D3976" w:rsidRDefault="00BF58F4" w:rsidP="00640A8D">
            <w:pPr>
              <w:rPr>
                <w:rFonts w:cs="Arial"/>
                <w:sz w:val="20"/>
                <w:szCs w:val="20"/>
              </w:rPr>
            </w:pPr>
            <w:r w:rsidRPr="005D3976">
              <w:rPr>
                <w:rFonts w:cs="Arial"/>
                <w:sz w:val="20"/>
                <w:szCs w:val="20"/>
              </w:rPr>
              <w:t xml:space="preserve">This session provides an overview of the proposal budgeting process to include detailed budget categories as well as allowable costs.  </w:t>
            </w:r>
          </w:p>
        </w:tc>
        <w:tc>
          <w:tcPr>
            <w:tcW w:w="1309" w:type="dxa"/>
          </w:tcPr>
          <w:p w:rsidR="00BF58F4" w:rsidRDefault="00BF58F4" w:rsidP="005D59AE">
            <w:pPr>
              <w:rPr>
                <w:rFonts w:cs="Arial"/>
                <w:b/>
                <w:sz w:val="20"/>
                <w:szCs w:val="20"/>
              </w:rPr>
            </w:pPr>
          </w:p>
        </w:tc>
        <w:tc>
          <w:tcPr>
            <w:tcW w:w="900" w:type="dxa"/>
          </w:tcPr>
          <w:p w:rsidR="00BF58F4" w:rsidRDefault="00BF58F4" w:rsidP="005D59AE">
            <w:pPr>
              <w:rPr>
                <w:rFonts w:cs="Arial"/>
                <w:b/>
                <w:sz w:val="20"/>
                <w:szCs w:val="20"/>
              </w:rPr>
            </w:pPr>
          </w:p>
        </w:tc>
      </w:tr>
      <w:tr w:rsidR="00BF58F4" w:rsidTr="008F5352">
        <w:tc>
          <w:tcPr>
            <w:tcW w:w="8095" w:type="dxa"/>
          </w:tcPr>
          <w:p w:rsidR="00BF58F4" w:rsidRPr="005D3976" w:rsidRDefault="00BF58F4" w:rsidP="005D3976">
            <w:pPr>
              <w:rPr>
                <w:rFonts w:cs="Arial"/>
                <w:b/>
                <w:sz w:val="20"/>
                <w:szCs w:val="20"/>
              </w:rPr>
            </w:pPr>
            <w:r w:rsidRPr="005D3976">
              <w:rPr>
                <w:rFonts w:cs="Arial"/>
                <w:b/>
                <w:sz w:val="20"/>
                <w:szCs w:val="20"/>
              </w:rPr>
              <w:t>4. Federal Government Contracting and Subcontracting</w:t>
            </w:r>
          </w:p>
          <w:p w:rsidR="00BF58F4" w:rsidRPr="00640A8D" w:rsidRDefault="00BF58F4" w:rsidP="00640A8D">
            <w:pPr>
              <w:pStyle w:val="NoSpacing"/>
              <w:rPr>
                <w:rFonts w:cs="Arial"/>
                <w:sz w:val="20"/>
                <w:szCs w:val="20"/>
              </w:rPr>
            </w:pPr>
            <w:r w:rsidRPr="005D3976">
              <w:rPr>
                <w:rFonts w:cs="Arial"/>
                <w:sz w:val="20"/>
                <w:szCs w:val="20"/>
              </w:rPr>
              <w:t>This session will review the differences between federal grants, contracts and cooperative agreements</w:t>
            </w:r>
            <w:r>
              <w:rPr>
                <w:rFonts w:cs="Arial"/>
                <w:sz w:val="20"/>
                <w:szCs w:val="20"/>
              </w:rPr>
              <w:t xml:space="preserve">. </w:t>
            </w:r>
            <w:r w:rsidRPr="005D3976">
              <w:rPr>
                <w:rFonts w:cs="Arial"/>
                <w:sz w:val="20"/>
                <w:szCs w:val="20"/>
              </w:rPr>
              <w:t xml:space="preserve">This session will also introduce relevant federal contract laws such as the OMB Uniform Guidance, the Federal Acquisition Regulation (FAR), Export Control Laws, and newly enacted laws governing data security and controlled, unclassified information. </w:t>
            </w:r>
          </w:p>
        </w:tc>
        <w:tc>
          <w:tcPr>
            <w:tcW w:w="1309" w:type="dxa"/>
          </w:tcPr>
          <w:p w:rsidR="00BF58F4" w:rsidRDefault="00BF58F4" w:rsidP="005D59AE">
            <w:pPr>
              <w:rPr>
                <w:rFonts w:cs="Arial"/>
                <w:b/>
                <w:sz w:val="20"/>
                <w:szCs w:val="20"/>
              </w:rPr>
            </w:pPr>
          </w:p>
        </w:tc>
        <w:tc>
          <w:tcPr>
            <w:tcW w:w="900" w:type="dxa"/>
          </w:tcPr>
          <w:p w:rsidR="00BF58F4" w:rsidRDefault="00BF58F4" w:rsidP="005D59AE">
            <w:pPr>
              <w:rPr>
                <w:rFonts w:cs="Arial"/>
                <w:b/>
                <w:sz w:val="20"/>
                <w:szCs w:val="20"/>
              </w:rPr>
            </w:pPr>
          </w:p>
        </w:tc>
      </w:tr>
      <w:tr w:rsidR="00BF58F4" w:rsidTr="008F5352">
        <w:tc>
          <w:tcPr>
            <w:tcW w:w="8095" w:type="dxa"/>
          </w:tcPr>
          <w:p w:rsidR="00BF58F4" w:rsidRPr="005D3976" w:rsidRDefault="00BF58F4" w:rsidP="005D3976">
            <w:pPr>
              <w:pStyle w:val="NoSpacing"/>
              <w:rPr>
                <w:rFonts w:cs="Arial"/>
                <w:b/>
                <w:sz w:val="20"/>
                <w:szCs w:val="20"/>
              </w:rPr>
            </w:pPr>
            <w:r w:rsidRPr="005D3976">
              <w:rPr>
                <w:rFonts w:cs="Arial"/>
                <w:b/>
                <w:sz w:val="20"/>
                <w:szCs w:val="20"/>
              </w:rPr>
              <w:t>5. Award Acceptance and Management</w:t>
            </w:r>
          </w:p>
          <w:p w:rsidR="00BF58F4" w:rsidRPr="00640A8D" w:rsidRDefault="00BF58F4" w:rsidP="005D59AE">
            <w:pPr>
              <w:rPr>
                <w:rFonts w:cs="Arial"/>
                <w:color w:val="000000"/>
                <w:sz w:val="20"/>
                <w:szCs w:val="20"/>
                <w:lang w:val="en"/>
              </w:rPr>
            </w:pPr>
            <w:r w:rsidRPr="005D3976">
              <w:rPr>
                <w:rFonts w:cs="Arial"/>
                <w:color w:val="000000"/>
                <w:sz w:val="20"/>
                <w:szCs w:val="20"/>
                <w:lang w:val="en"/>
              </w:rPr>
              <w:t xml:space="preserve">This session will provide an overview of the award acceptance and setup process and best practices that can be used for the post award management of your projects from the central OSP and college/department level perspectives here at Mason.  </w:t>
            </w:r>
          </w:p>
        </w:tc>
        <w:tc>
          <w:tcPr>
            <w:tcW w:w="1309" w:type="dxa"/>
          </w:tcPr>
          <w:p w:rsidR="00BF58F4" w:rsidRDefault="00BF58F4" w:rsidP="005D59AE">
            <w:pPr>
              <w:rPr>
                <w:rFonts w:cs="Arial"/>
                <w:b/>
                <w:sz w:val="20"/>
                <w:szCs w:val="20"/>
              </w:rPr>
            </w:pPr>
          </w:p>
        </w:tc>
        <w:tc>
          <w:tcPr>
            <w:tcW w:w="900" w:type="dxa"/>
          </w:tcPr>
          <w:p w:rsidR="00BF58F4" w:rsidRDefault="00BF58F4" w:rsidP="005D59AE">
            <w:pPr>
              <w:rPr>
                <w:rFonts w:cs="Arial"/>
                <w:b/>
                <w:sz w:val="20"/>
                <w:szCs w:val="20"/>
              </w:rPr>
            </w:pPr>
          </w:p>
        </w:tc>
      </w:tr>
      <w:tr w:rsidR="00BF58F4" w:rsidTr="008F5352">
        <w:tc>
          <w:tcPr>
            <w:tcW w:w="8095" w:type="dxa"/>
          </w:tcPr>
          <w:p w:rsidR="00BF58F4" w:rsidRPr="005D3976" w:rsidRDefault="00BF58F4" w:rsidP="005D3976">
            <w:pPr>
              <w:pStyle w:val="NoSpacing"/>
              <w:rPr>
                <w:rFonts w:cs="Arial"/>
                <w:b/>
                <w:sz w:val="20"/>
                <w:szCs w:val="20"/>
              </w:rPr>
            </w:pPr>
            <w:r w:rsidRPr="005D3976">
              <w:rPr>
                <w:rFonts w:cs="Arial"/>
                <w:b/>
                <w:sz w:val="20"/>
                <w:szCs w:val="20"/>
              </w:rPr>
              <w:t xml:space="preserve">6. PI Report and Reconciliation </w:t>
            </w:r>
          </w:p>
          <w:p w:rsidR="00BF58F4" w:rsidRPr="00640A8D" w:rsidRDefault="00BF58F4" w:rsidP="00640A8D">
            <w:pPr>
              <w:pStyle w:val="NoSpacing"/>
              <w:rPr>
                <w:rFonts w:cs="Arial"/>
                <w:sz w:val="20"/>
                <w:szCs w:val="20"/>
              </w:rPr>
            </w:pPr>
            <w:r w:rsidRPr="005D3976">
              <w:rPr>
                <w:rFonts w:cs="Arial"/>
                <w:sz w:val="20"/>
                <w:szCs w:val="20"/>
              </w:rPr>
              <w:t xml:space="preserve">This hands-on session will provide an overview of </w:t>
            </w:r>
            <w:r>
              <w:rPr>
                <w:rFonts w:cs="Arial"/>
                <w:sz w:val="20"/>
                <w:szCs w:val="20"/>
              </w:rPr>
              <w:t xml:space="preserve">the PI Report in MicroStrategy. </w:t>
            </w:r>
            <w:r w:rsidRPr="005D3976">
              <w:rPr>
                <w:rFonts w:cs="Arial"/>
                <w:sz w:val="20"/>
                <w:szCs w:val="20"/>
              </w:rPr>
              <w:t xml:space="preserve">The GMU reconciliation policy, overall reconciliation process, sample templates to track both personnel transactions and direct expenditures, and sample reconciliations will be reviewed. </w:t>
            </w:r>
          </w:p>
        </w:tc>
        <w:tc>
          <w:tcPr>
            <w:tcW w:w="1309" w:type="dxa"/>
          </w:tcPr>
          <w:p w:rsidR="00BF58F4" w:rsidRDefault="00BF58F4" w:rsidP="005D59AE">
            <w:pPr>
              <w:rPr>
                <w:rFonts w:cs="Arial"/>
                <w:b/>
                <w:sz w:val="20"/>
                <w:szCs w:val="20"/>
              </w:rPr>
            </w:pPr>
          </w:p>
        </w:tc>
        <w:tc>
          <w:tcPr>
            <w:tcW w:w="900" w:type="dxa"/>
          </w:tcPr>
          <w:p w:rsidR="00BF58F4" w:rsidRDefault="00BF58F4" w:rsidP="005D59AE">
            <w:pPr>
              <w:rPr>
                <w:rFonts w:cs="Arial"/>
                <w:b/>
                <w:sz w:val="20"/>
                <w:szCs w:val="20"/>
              </w:rPr>
            </w:pPr>
          </w:p>
        </w:tc>
      </w:tr>
      <w:tr w:rsidR="00BF58F4" w:rsidTr="008F5352">
        <w:tc>
          <w:tcPr>
            <w:tcW w:w="8095" w:type="dxa"/>
          </w:tcPr>
          <w:p w:rsidR="00BF58F4" w:rsidRPr="005D3976" w:rsidRDefault="00BF58F4" w:rsidP="005D3976">
            <w:pPr>
              <w:rPr>
                <w:rFonts w:cs="Arial"/>
                <w:b/>
                <w:sz w:val="20"/>
                <w:szCs w:val="20"/>
              </w:rPr>
            </w:pPr>
            <w:r w:rsidRPr="005D3976">
              <w:rPr>
                <w:rFonts w:cs="Arial"/>
                <w:b/>
                <w:sz w:val="20"/>
                <w:szCs w:val="20"/>
              </w:rPr>
              <w:t>7. Administering Labor Expenditures on Sponsored Project</w:t>
            </w:r>
          </w:p>
          <w:p w:rsidR="00BF58F4" w:rsidRPr="00640A8D" w:rsidRDefault="00BF58F4" w:rsidP="00640A8D">
            <w:pPr>
              <w:rPr>
                <w:rFonts w:cs="Arial"/>
                <w:sz w:val="20"/>
                <w:szCs w:val="20"/>
              </w:rPr>
            </w:pPr>
            <w:r w:rsidRPr="005D3976">
              <w:rPr>
                <w:rFonts w:cs="Arial"/>
                <w:sz w:val="20"/>
                <w:szCs w:val="20"/>
              </w:rPr>
              <w:t xml:space="preserve">This session provides an overview of managing labor expenditures on sponsored projects. </w:t>
            </w:r>
          </w:p>
        </w:tc>
        <w:tc>
          <w:tcPr>
            <w:tcW w:w="1309" w:type="dxa"/>
          </w:tcPr>
          <w:p w:rsidR="00BF58F4" w:rsidRDefault="00BF58F4" w:rsidP="005D59AE">
            <w:pPr>
              <w:rPr>
                <w:rFonts w:cs="Arial"/>
                <w:b/>
                <w:sz w:val="20"/>
                <w:szCs w:val="20"/>
              </w:rPr>
            </w:pPr>
          </w:p>
        </w:tc>
        <w:tc>
          <w:tcPr>
            <w:tcW w:w="900" w:type="dxa"/>
          </w:tcPr>
          <w:p w:rsidR="00BF58F4" w:rsidRDefault="00BF58F4" w:rsidP="005D59AE">
            <w:pPr>
              <w:rPr>
                <w:rFonts w:cs="Arial"/>
                <w:b/>
                <w:sz w:val="20"/>
                <w:szCs w:val="20"/>
              </w:rPr>
            </w:pPr>
          </w:p>
        </w:tc>
      </w:tr>
      <w:tr w:rsidR="00BF58F4" w:rsidTr="008F5352">
        <w:tc>
          <w:tcPr>
            <w:tcW w:w="8095" w:type="dxa"/>
          </w:tcPr>
          <w:p w:rsidR="00BF58F4" w:rsidRPr="005D3976" w:rsidRDefault="00BF58F4" w:rsidP="005D3976">
            <w:pPr>
              <w:rPr>
                <w:rFonts w:cs="Arial"/>
                <w:b/>
                <w:sz w:val="20"/>
                <w:szCs w:val="20"/>
              </w:rPr>
            </w:pPr>
            <w:r w:rsidRPr="005D3976">
              <w:rPr>
                <w:rFonts w:cs="Arial"/>
                <w:b/>
                <w:sz w:val="20"/>
                <w:szCs w:val="20"/>
              </w:rPr>
              <w:t>8. Administering Non-Labor Expenditures on Sponsored Projects</w:t>
            </w:r>
          </w:p>
          <w:p w:rsidR="00BF58F4" w:rsidRPr="00640A8D" w:rsidRDefault="00BF58F4" w:rsidP="00640A8D">
            <w:pPr>
              <w:rPr>
                <w:rFonts w:cs="Arial"/>
                <w:sz w:val="20"/>
                <w:szCs w:val="20"/>
              </w:rPr>
            </w:pPr>
            <w:r w:rsidRPr="005D3976">
              <w:rPr>
                <w:rFonts w:cs="Arial"/>
                <w:sz w:val="20"/>
                <w:szCs w:val="20"/>
              </w:rPr>
              <w:t xml:space="preserve">This session provides an overview of managing non-labor expenditures on sponsored projects. </w:t>
            </w:r>
          </w:p>
        </w:tc>
        <w:tc>
          <w:tcPr>
            <w:tcW w:w="1309" w:type="dxa"/>
          </w:tcPr>
          <w:p w:rsidR="00BF58F4" w:rsidRDefault="00BF58F4" w:rsidP="005D59AE">
            <w:pPr>
              <w:rPr>
                <w:rFonts w:cs="Arial"/>
                <w:b/>
                <w:sz w:val="20"/>
                <w:szCs w:val="20"/>
              </w:rPr>
            </w:pPr>
          </w:p>
        </w:tc>
        <w:tc>
          <w:tcPr>
            <w:tcW w:w="900" w:type="dxa"/>
          </w:tcPr>
          <w:p w:rsidR="00BF58F4" w:rsidRDefault="00BF58F4" w:rsidP="005D59AE">
            <w:pPr>
              <w:rPr>
                <w:rFonts w:cs="Arial"/>
                <w:b/>
                <w:sz w:val="20"/>
                <w:szCs w:val="20"/>
              </w:rPr>
            </w:pPr>
          </w:p>
        </w:tc>
      </w:tr>
      <w:tr w:rsidR="00BF58F4" w:rsidTr="008F5352">
        <w:tc>
          <w:tcPr>
            <w:tcW w:w="8095" w:type="dxa"/>
          </w:tcPr>
          <w:p w:rsidR="00BF58F4" w:rsidRPr="00640A8D" w:rsidRDefault="00BF58F4" w:rsidP="005D3976">
            <w:pPr>
              <w:rPr>
                <w:rFonts w:cs="Arial"/>
                <w:b/>
                <w:sz w:val="20"/>
                <w:szCs w:val="20"/>
              </w:rPr>
            </w:pPr>
            <w:r w:rsidRPr="005D3976">
              <w:rPr>
                <w:rFonts w:cs="Arial"/>
                <w:b/>
                <w:sz w:val="20"/>
                <w:szCs w:val="20"/>
              </w:rPr>
              <w:t>9. Research Compliance Overview</w:t>
            </w:r>
          </w:p>
          <w:p w:rsidR="00BF58F4" w:rsidRPr="00640A8D" w:rsidRDefault="00BF58F4" w:rsidP="00640A8D">
            <w:pPr>
              <w:pStyle w:val="NoSpacing"/>
              <w:rPr>
                <w:rFonts w:cs="Arial"/>
                <w:sz w:val="20"/>
                <w:szCs w:val="20"/>
              </w:rPr>
            </w:pPr>
            <w:r w:rsidRPr="005D3976">
              <w:rPr>
                <w:rFonts w:cs="Arial"/>
                <w:sz w:val="20"/>
                <w:szCs w:val="20"/>
              </w:rPr>
              <w:t xml:space="preserve">This session will review federal requirements for research with animals and human subjects, conflicts of interest, research misconduct, responsible conduct of research and export controls. </w:t>
            </w:r>
          </w:p>
        </w:tc>
        <w:tc>
          <w:tcPr>
            <w:tcW w:w="1309" w:type="dxa"/>
          </w:tcPr>
          <w:p w:rsidR="00BF58F4" w:rsidRDefault="00BF58F4" w:rsidP="005D59AE">
            <w:pPr>
              <w:rPr>
                <w:rFonts w:cs="Arial"/>
                <w:b/>
                <w:sz w:val="20"/>
                <w:szCs w:val="20"/>
              </w:rPr>
            </w:pPr>
          </w:p>
        </w:tc>
        <w:tc>
          <w:tcPr>
            <w:tcW w:w="900" w:type="dxa"/>
          </w:tcPr>
          <w:p w:rsidR="00BF58F4" w:rsidRDefault="00BF58F4" w:rsidP="005D59AE">
            <w:pPr>
              <w:rPr>
                <w:rFonts w:cs="Arial"/>
                <w:b/>
                <w:sz w:val="20"/>
                <w:szCs w:val="20"/>
              </w:rPr>
            </w:pPr>
          </w:p>
        </w:tc>
      </w:tr>
      <w:tr w:rsidR="00BF58F4" w:rsidTr="008F5352">
        <w:tc>
          <w:tcPr>
            <w:tcW w:w="8095" w:type="dxa"/>
          </w:tcPr>
          <w:p w:rsidR="00BF58F4" w:rsidRPr="005D3976" w:rsidRDefault="00BF58F4" w:rsidP="00640A8D">
            <w:pPr>
              <w:rPr>
                <w:rFonts w:cs="Arial"/>
                <w:b/>
                <w:sz w:val="20"/>
                <w:szCs w:val="20"/>
              </w:rPr>
            </w:pPr>
            <w:r w:rsidRPr="005D3976">
              <w:rPr>
                <w:rFonts w:cs="Arial"/>
                <w:b/>
                <w:sz w:val="20"/>
                <w:szCs w:val="20"/>
              </w:rPr>
              <w:t>10.</w:t>
            </w:r>
            <w:r w:rsidRPr="005D3976">
              <w:rPr>
                <w:rFonts w:cs="Arial"/>
                <w:sz w:val="20"/>
                <w:szCs w:val="20"/>
              </w:rPr>
              <w:t xml:space="preserve"> </w:t>
            </w:r>
            <w:r w:rsidRPr="005D3976">
              <w:rPr>
                <w:rFonts w:cs="Arial"/>
                <w:b/>
                <w:sz w:val="20"/>
                <w:szCs w:val="20"/>
              </w:rPr>
              <w:t>Financial Compliance Overview &amp; Audits</w:t>
            </w:r>
          </w:p>
          <w:p w:rsidR="00BF58F4" w:rsidRPr="00640A8D" w:rsidRDefault="00BF58F4" w:rsidP="00640A8D">
            <w:pPr>
              <w:rPr>
                <w:rFonts w:cs="Arial"/>
                <w:sz w:val="20"/>
                <w:szCs w:val="20"/>
              </w:rPr>
            </w:pPr>
            <w:r w:rsidRPr="005D3976">
              <w:rPr>
                <w:rFonts w:cs="Arial"/>
                <w:sz w:val="20"/>
                <w:szCs w:val="20"/>
              </w:rPr>
              <w:t xml:space="preserve">This session provides an overview of the many regulations and compliance concerns pertaining to post award administration to include unallowable charges, cost transfers, Fly America Act, and more. </w:t>
            </w:r>
          </w:p>
        </w:tc>
        <w:tc>
          <w:tcPr>
            <w:tcW w:w="1309" w:type="dxa"/>
          </w:tcPr>
          <w:p w:rsidR="00BF58F4" w:rsidRDefault="00BF58F4" w:rsidP="005D59AE">
            <w:pPr>
              <w:rPr>
                <w:rFonts w:cs="Arial"/>
                <w:b/>
                <w:sz w:val="20"/>
                <w:szCs w:val="20"/>
              </w:rPr>
            </w:pPr>
          </w:p>
        </w:tc>
        <w:tc>
          <w:tcPr>
            <w:tcW w:w="900" w:type="dxa"/>
          </w:tcPr>
          <w:p w:rsidR="00BF58F4" w:rsidRDefault="00BF58F4" w:rsidP="005D59AE">
            <w:pPr>
              <w:rPr>
                <w:rFonts w:cs="Arial"/>
                <w:b/>
                <w:sz w:val="20"/>
                <w:szCs w:val="20"/>
              </w:rPr>
            </w:pPr>
          </w:p>
        </w:tc>
      </w:tr>
      <w:tr w:rsidR="00BF58F4" w:rsidTr="008F5352">
        <w:tc>
          <w:tcPr>
            <w:tcW w:w="8095" w:type="dxa"/>
          </w:tcPr>
          <w:p w:rsidR="00BF58F4" w:rsidRPr="005D3976" w:rsidRDefault="00BF58F4" w:rsidP="00640A8D">
            <w:pPr>
              <w:rPr>
                <w:rFonts w:cs="Arial"/>
                <w:b/>
                <w:sz w:val="20"/>
                <w:szCs w:val="20"/>
              </w:rPr>
            </w:pPr>
            <w:r w:rsidRPr="005D3976">
              <w:rPr>
                <w:rFonts w:cs="Arial"/>
                <w:b/>
                <w:sz w:val="20"/>
                <w:szCs w:val="20"/>
              </w:rPr>
              <w:t>11. Financial Reporting, Billing, and Closeout</w:t>
            </w:r>
          </w:p>
          <w:p w:rsidR="00BF58F4" w:rsidRPr="00640A8D" w:rsidRDefault="00BF58F4" w:rsidP="005D59AE">
            <w:pPr>
              <w:rPr>
                <w:rFonts w:cs="Arial"/>
                <w:sz w:val="20"/>
                <w:szCs w:val="20"/>
              </w:rPr>
            </w:pPr>
            <w:r w:rsidRPr="005D3976">
              <w:rPr>
                <w:rFonts w:cs="Arial"/>
                <w:sz w:val="20"/>
                <w:szCs w:val="20"/>
              </w:rPr>
              <w:t xml:space="preserve">In this session, OSP’s Financial Reporting and Billing team will review the different types of sponsored awards, invoices, and financial reports.  Payroll certification, cost share, and the award closeout process will be discussed. </w:t>
            </w:r>
          </w:p>
        </w:tc>
        <w:tc>
          <w:tcPr>
            <w:tcW w:w="1309" w:type="dxa"/>
          </w:tcPr>
          <w:p w:rsidR="00BF58F4" w:rsidRDefault="00BF58F4" w:rsidP="005D59AE">
            <w:pPr>
              <w:rPr>
                <w:rFonts w:cs="Arial"/>
                <w:b/>
                <w:sz w:val="20"/>
                <w:szCs w:val="20"/>
              </w:rPr>
            </w:pPr>
          </w:p>
        </w:tc>
        <w:tc>
          <w:tcPr>
            <w:tcW w:w="900" w:type="dxa"/>
          </w:tcPr>
          <w:p w:rsidR="00BF58F4" w:rsidRDefault="00BF58F4" w:rsidP="005D59AE">
            <w:pPr>
              <w:rPr>
                <w:rFonts w:cs="Arial"/>
                <w:b/>
                <w:sz w:val="20"/>
                <w:szCs w:val="20"/>
              </w:rPr>
            </w:pPr>
          </w:p>
        </w:tc>
      </w:tr>
      <w:tr w:rsidR="00BF58F4" w:rsidTr="008F5352">
        <w:tc>
          <w:tcPr>
            <w:tcW w:w="8095" w:type="dxa"/>
          </w:tcPr>
          <w:p w:rsidR="00BF58F4" w:rsidRPr="005D3976" w:rsidRDefault="00BF58F4" w:rsidP="00640A8D">
            <w:pPr>
              <w:rPr>
                <w:b/>
                <w:sz w:val="20"/>
                <w:szCs w:val="20"/>
              </w:rPr>
            </w:pPr>
            <w:r>
              <w:rPr>
                <w:b/>
                <w:sz w:val="20"/>
                <w:szCs w:val="20"/>
              </w:rPr>
              <w:t>Certificate Ceremony</w:t>
            </w:r>
          </w:p>
          <w:p w:rsidR="00BF58F4" w:rsidRPr="00D5675C" w:rsidRDefault="00BF58F4" w:rsidP="00BF58F4">
            <w:pPr>
              <w:rPr>
                <w:sz w:val="20"/>
                <w:szCs w:val="20"/>
              </w:rPr>
            </w:pPr>
            <w:r w:rsidRPr="005D3976">
              <w:rPr>
                <w:sz w:val="20"/>
                <w:szCs w:val="20"/>
              </w:rPr>
              <w:t>The Research Administrator Cert</w:t>
            </w:r>
            <w:r>
              <w:rPr>
                <w:sz w:val="20"/>
                <w:szCs w:val="20"/>
              </w:rPr>
              <w:t xml:space="preserve">ificates will be awarded during the ceremony.  Invitations will be sent to those who earned their certificate. </w:t>
            </w:r>
          </w:p>
        </w:tc>
        <w:tc>
          <w:tcPr>
            <w:tcW w:w="1309" w:type="dxa"/>
          </w:tcPr>
          <w:p w:rsidR="00BF58F4" w:rsidRDefault="00BF58F4" w:rsidP="005D59AE">
            <w:pPr>
              <w:rPr>
                <w:rFonts w:cs="Arial"/>
                <w:b/>
                <w:sz w:val="20"/>
                <w:szCs w:val="20"/>
              </w:rPr>
            </w:pPr>
          </w:p>
        </w:tc>
        <w:tc>
          <w:tcPr>
            <w:tcW w:w="900" w:type="dxa"/>
          </w:tcPr>
          <w:p w:rsidR="00BF58F4" w:rsidRDefault="00BF58F4" w:rsidP="005D59AE">
            <w:pPr>
              <w:rPr>
                <w:rFonts w:cs="Arial"/>
                <w:b/>
                <w:sz w:val="20"/>
                <w:szCs w:val="20"/>
              </w:rPr>
            </w:pPr>
          </w:p>
        </w:tc>
      </w:tr>
    </w:tbl>
    <w:p w:rsidR="008F5352" w:rsidRDefault="008F5352" w:rsidP="008F5352">
      <w:pPr>
        <w:pStyle w:val="NoSpacing"/>
        <w:rPr>
          <w:rFonts w:cs="Arial"/>
          <w:b/>
          <w:sz w:val="20"/>
          <w:szCs w:val="20"/>
        </w:rPr>
      </w:pPr>
      <w:r>
        <w:rPr>
          <w:rFonts w:cs="Arial"/>
          <w:b/>
          <w:sz w:val="20"/>
          <w:szCs w:val="20"/>
        </w:rPr>
        <w:t xml:space="preserve">OSP Research Administrator Certificate Program information:   </w:t>
      </w:r>
      <w:hyperlink r:id="rId8" w:history="1">
        <w:r w:rsidRPr="00E16168">
          <w:rPr>
            <w:rStyle w:val="Hyperlink"/>
            <w:rFonts w:cs="Arial"/>
            <w:b/>
            <w:sz w:val="20"/>
            <w:szCs w:val="20"/>
          </w:rPr>
          <w:t>http://osp.gmu.edu/abouttraining/</w:t>
        </w:r>
      </w:hyperlink>
    </w:p>
    <w:p w:rsidR="008F5352" w:rsidRDefault="008F5352" w:rsidP="008F5352">
      <w:pPr>
        <w:pStyle w:val="NoSpacing"/>
        <w:rPr>
          <w:rFonts w:cs="Arial"/>
          <w:b/>
          <w:sz w:val="20"/>
          <w:szCs w:val="20"/>
        </w:rPr>
      </w:pPr>
      <w:r>
        <w:rPr>
          <w:rFonts w:cs="Arial"/>
          <w:b/>
          <w:sz w:val="20"/>
          <w:szCs w:val="20"/>
        </w:rPr>
        <w:t xml:space="preserve">Workshop Registration:  </w:t>
      </w:r>
      <w:hyperlink r:id="rId9" w:history="1">
        <w:r w:rsidRPr="00E16168">
          <w:rPr>
            <w:rStyle w:val="Hyperlink"/>
            <w:rFonts w:cs="Arial"/>
            <w:b/>
            <w:sz w:val="20"/>
            <w:szCs w:val="20"/>
          </w:rPr>
          <w:t>http://workshops.gmu.edu/</w:t>
        </w:r>
      </w:hyperlink>
    </w:p>
    <w:p w:rsidR="00842095" w:rsidRPr="005D3976" w:rsidRDefault="00842095" w:rsidP="00D5675C">
      <w:pPr>
        <w:spacing w:after="0"/>
        <w:rPr>
          <w:rFonts w:cs="Arial"/>
          <w:sz w:val="20"/>
          <w:szCs w:val="20"/>
        </w:rPr>
      </w:pPr>
      <w:bookmarkStart w:id="0" w:name="_GoBack"/>
      <w:bookmarkEnd w:id="0"/>
    </w:p>
    <w:sectPr w:rsidR="00842095" w:rsidRPr="005D3976" w:rsidSect="00DE75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33AC0"/>
    <w:multiLevelType w:val="hybridMultilevel"/>
    <w:tmpl w:val="11CC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657AF3"/>
    <w:multiLevelType w:val="hybridMultilevel"/>
    <w:tmpl w:val="3AE8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1C"/>
    <w:rsid w:val="000201B7"/>
    <w:rsid w:val="000C0FEF"/>
    <w:rsid w:val="000E6512"/>
    <w:rsid w:val="00120A56"/>
    <w:rsid w:val="00152231"/>
    <w:rsid w:val="0021212C"/>
    <w:rsid w:val="00240B8C"/>
    <w:rsid w:val="00240E31"/>
    <w:rsid w:val="002C7034"/>
    <w:rsid w:val="002D493E"/>
    <w:rsid w:val="0031601B"/>
    <w:rsid w:val="003C4C0B"/>
    <w:rsid w:val="004209BA"/>
    <w:rsid w:val="004C3C5D"/>
    <w:rsid w:val="0050296B"/>
    <w:rsid w:val="00564620"/>
    <w:rsid w:val="005B629A"/>
    <w:rsid w:val="005D3177"/>
    <w:rsid w:val="005D3976"/>
    <w:rsid w:val="005D59AE"/>
    <w:rsid w:val="006121BC"/>
    <w:rsid w:val="00622B1C"/>
    <w:rsid w:val="00640A8D"/>
    <w:rsid w:val="006C19F6"/>
    <w:rsid w:val="006D4DB3"/>
    <w:rsid w:val="00785C58"/>
    <w:rsid w:val="007B07D0"/>
    <w:rsid w:val="007B551B"/>
    <w:rsid w:val="007F299E"/>
    <w:rsid w:val="00833A8F"/>
    <w:rsid w:val="00836553"/>
    <w:rsid w:val="00842095"/>
    <w:rsid w:val="00863B4B"/>
    <w:rsid w:val="008B2EAB"/>
    <w:rsid w:val="008D3138"/>
    <w:rsid w:val="008E45C6"/>
    <w:rsid w:val="008F5352"/>
    <w:rsid w:val="00940DF7"/>
    <w:rsid w:val="009A5181"/>
    <w:rsid w:val="009B3B3B"/>
    <w:rsid w:val="00A11293"/>
    <w:rsid w:val="00A24078"/>
    <w:rsid w:val="00A26CDD"/>
    <w:rsid w:val="00A45AE6"/>
    <w:rsid w:val="00AA7C91"/>
    <w:rsid w:val="00AF0278"/>
    <w:rsid w:val="00BB79EF"/>
    <w:rsid w:val="00BF3A95"/>
    <w:rsid w:val="00BF58F4"/>
    <w:rsid w:val="00C33614"/>
    <w:rsid w:val="00C46384"/>
    <w:rsid w:val="00C6324E"/>
    <w:rsid w:val="00CA6B41"/>
    <w:rsid w:val="00CC4E68"/>
    <w:rsid w:val="00D109EA"/>
    <w:rsid w:val="00D372E4"/>
    <w:rsid w:val="00D5675C"/>
    <w:rsid w:val="00DD2245"/>
    <w:rsid w:val="00DE75A8"/>
    <w:rsid w:val="00DF10B7"/>
    <w:rsid w:val="00DF2569"/>
    <w:rsid w:val="00E24FC6"/>
    <w:rsid w:val="00E450E9"/>
    <w:rsid w:val="00E63408"/>
    <w:rsid w:val="00E672B7"/>
    <w:rsid w:val="00E842E0"/>
    <w:rsid w:val="00EF6246"/>
    <w:rsid w:val="00F11A89"/>
    <w:rsid w:val="00F62882"/>
    <w:rsid w:val="00F64461"/>
    <w:rsid w:val="00F7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74BC"/>
  <w15:chartTrackingRefBased/>
  <w15:docId w15:val="{09801BEF-F2E5-4BC9-ACA0-401C1965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B1C"/>
    <w:pPr>
      <w:spacing w:after="0" w:line="240" w:lineRule="auto"/>
    </w:pPr>
  </w:style>
  <w:style w:type="character" w:styleId="Strong">
    <w:name w:val="Strong"/>
    <w:basedOn w:val="DefaultParagraphFont"/>
    <w:uiPriority w:val="22"/>
    <w:qFormat/>
    <w:rsid w:val="00F64461"/>
    <w:rPr>
      <w:b/>
      <w:bCs/>
    </w:rPr>
  </w:style>
  <w:style w:type="paragraph" w:styleId="BalloonText">
    <w:name w:val="Balloon Text"/>
    <w:basedOn w:val="Normal"/>
    <w:link w:val="BalloonTextChar"/>
    <w:uiPriority w:val="99"/>
    <w:semiHidden/>
    <w:unhideWhenUsed/>
    <w:rsid w:val="00A11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293"/>
    <w:rPr>
      <w:rFonts w:ascii="Segoe UI" w:hAnsi="Segoe UI" w:cs="Segoe UI"/>
      <w:sz w:val="18"/>
      <w:szCs w:val="18"/>
    </w:rPr>
  </w:style>
  <w:style w:type="character" w:styleId="Hyperlink">
    <w:name w:val="Hyperlink"/>
    <w:basedOn w:val="DefaultParagraphFont"/>
    <w:uiPriority w:val="99"/>
    <w:unhideWhenUsed/>
    <w:rsid w:val="000201B7"/>
    <w:rPr>
      <w:color w:val="0000FF"/>
      <w:u w:val="single"/>
    </w:rPr>
  </w:style>
  <w:style w:type="table" w:styleId="TableGrid">
    <w:name w:val="Table Grid"/>
    <w:basedOn w:val="TableNormal"/>
    <w:uiPriority w:val="39"/>
    <w:rsid w:val="005D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0108">
      <w:bodyDiv w:val="1"/>
      <w:marLeft w:val="0"/>
      <w:marRight w:val="0"/>
      <w:marTop w:val="0"/>
      <w:marBottom w:val="0"/>
      <w:divBdr>
        <w:top w:val="none" w:sz="0" w:space="0" w:color="auto"/>
        <w:left w:val="none" w:sz="0" w:space="0" w:color="auto"/>
        <w:bottom w:val="none" w:sz="0" w:space="0" w:color="auto"/>
        <w:right w:val="none" w:sz="0" w:space="0" w:color="auto"/>
      </w:divBdr>
    </w:div>
    <w:div w:id="483081501">
      <w:bodyDiv w:val="1"/>
      <w:marLeft w:val="0"/>
      <w:marRight w:val="0"/>
      <w:marTop w:val="0"/>
      <w:marBottom w:val="0"/>
      <w:divBdr>
        <w:top w:val="none" w:sz="0" w:space="0" w:color="auto"/>
        <w:left w:val="none" w:sz="0" w:space="0" w:color="auto"/>
        <w:bottom w:val="none" w:sz="0" w:space="0" w:color="auto"/>
        <w:right w:val="none" w:sz="0" w:space="0" w:color="auto"/>
      </w:divBdr>
    </w:div>
    <w:div w:id="729495896">
      <w:bodyDiv w:val="1"/>
      <w:marLeft w:val="0"/>
      <w:marRight w:val="0"/>
      <w:marTop w:val="0"/>
      <w:marBottom w:val="0"/>
      <w:divBdr>
        <w:top w:val="none" w:sz="0" w:space="0" w:color="auto"/>
        <w:left w:val="none" w:sz="0" w:space="0" w:color="auto"/>
        <w:bottom w:val="none" w:sz="0" w:space="0" w:color="auto"/>
        <w:right w:val="none" w:sz="0" w:space="0" w:color="auto"/>
      </w:divBdr>
    </w:div>
    <w:div w:id="1702435404">
      <w:bodyDiv w:val="1"/>
      <w:marLeft w:val="0"/>
      <w:marRight w:val="0"/>
      <w:marTop w:val="0"/>
      <w:marBottom w:val="0"/>
      <w:divBdr>
        <w:top w:val="none" w:sz="0" w:space="0" w:color="auto"/>
        <w:left w:val="none" w:sz="0" w:space="0" w:color="auto"/>
        <w:bottom w:val="none" w:sz="0" w:space="0" w:color="auto"/>
        <w:right w:val="none" w:sz="0" w:space="0" w:color="auto"/>
      </w:divBdr>
    </w:div>
    <w:div w:id="1714304101">
      <w:bodyDiv w:val="1"/>
      <w:marLeft w:val="0"/>
      <w:marRight w:val="0"/>
      <w:marTop w:val="0"/>
      <w:marBottom w:val="0"/>
      <w:divBdr>
        <w:top w:val="none" w:sz="0" w:space="0" w:color="auto"/>
        <w:left w:val="none" w:sz="0" w:space="0" w:color="auto"/>
        <w:bottom w:val="none" w:sz="0" w:space="0" w:color="auto"/>
        <w:right w:val="none" w:sz="0" w:space="0" w:color="auto"/>
      </w:divBdr>
    </w:div>
    <w:div w:id="18318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gmu.edu/abouttraining/" TargetMode="External"/><Relationship Id="rId3" Type="http://schemas.openxmlformats.org/officeDocument/2006/relationships/styles" Target="styles.xml"/><Relationship Id="rId7" Type="http://schemas.openxmlformats.org/officeDocument/2006/relationships/hyperlink" Target="mailto:psperry@g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sperry@gm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orkshop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3E10F-1656-4F2A-9070-BD23EADF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 Gallagher</dc:creator>
  <cp:keywords/>
  <dc:description/>
  <cp:lastModifiedBy>Patricia J Sperry</cp:lastModifiedBy>
  <cp:revision>3</cp:revision>
  <cp:lastPrinted>2016-12-06T20:03:00Z</cp:lastPrinted>
  <dcterms:created xsi:type="dcterms:W3CDTF">2020-04-09T18:29:00Z</dcterms:created>
  <dcterms:modified xsi:type="dcterms:W3CDTF">2020-04-09T18:39:00Z</dcterms:modified>
</cp:coreProperties>
</file>